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914" w:rsidRDefault="00964914">
      <w:pPr>
        <w:jc w:val="center"/>
        <w:rPr>
          <w:b/>
          <w:bCs/>
        </w:rPr>
      </w:pPr>
      <w:r>
        <w:rPr>
          <w:b/>
          <w:bCs/>
        </w:rPr>
        <w:t>Glyphosate and Gut Health</w:t>
      </w:r>
    </w:p>
    <w:p w:rsidR="00964914" w:rsidRDefault="00964914"/>
    <w:p w:rsidR="00964914" w:rsidRDefault="00964914">
      <w:pPr>
        <w:rPr>
          <w:sz w:val="24"/>
          <w:szCs w:val="24"/>
        </w:rPr>
      </w:pPr>
      <w:r>
        <w:rPr>
          <w:sz w:val="24"/>
          <w:szCs w:val="24"/>
        </w:rPr>
        <w:t xml:space="preserve">Glyphosate (Round Up) is the most widely used herbicide in agriculture in the United States. It functions as an antibiotic and a dessicant, which dries out crops, and can travel through the air, water supply, and soil. </w:t>
      </w:r>
    </w:p>
    <w:p w:rsidR="00964914" w:rsidRDefault="00964914">
      <w:pPr>
        <w:rPr>
          <w:sz w:val="24"/>
          <w:szCs w:val="24"/>
        </w:rPr>
      </w:pPr>
    </w:p>
    <w:p w:rsidR="00964914" w:rsidRDefault="00964914">
      <w:pPr>
        <w:rPr>
          <w:sz w:val="24"/>
          <w:szCs w:val="24"/>
        </w:rPr>
      </w:pPr>
      <w:r>
        <w:rPr>
          <w:sz w:val="24"/>
          <w:szCs w:val="24"/>
        </w:rPr>
        <w:t xml:space="preserve">In fact, glyphosate can survive in the soil for decades before it even begins to degrade. Once it is sprayed onto fruits and vegetables, it enters the cell structure and can no longer be washed off of the produce. For this reason, organic foods often contain just as much glyphosate as their non-organic counterparts. </w:t>
      </w:r>
    </w:p>
    <w:p w:rsidR="00964914" w:rsidRDefault="00964914">
      <w:pPr>
        <w:rPr>
          <w:sz w:val="24"/>
          <w:szCs w:val="24"/>
        </w:rPr>
      </w:pPr>
    </w:p>
    <w:p w:rsidR="00964914" w:rsidRDefault="00964914">
      <w:pPr>
        <w:rPr>
          <w:sz w:val="24"/>
          <w:szCs w:val="24"/>
        </w:rPr>
      </w:pPr>
      <w:r>
        <w:rPr>
          <w:sz w:val="24"/>
          <w:szCs w:val="24"/>
        </w:rPr>
        <w:t>Glyphosate can trigger various forms of disease and dysfunction in humans by interfering with the bacteria that live inside the gut (</w:t>
      </w:r>
      <w:hyperlink r:id="rId5">
        <w:r>
          <w:rPr>
            <w:color w:val="1155CC"/>
            <w:sz w:val="24"/>
            <w:szCs w:val="24"/>
            <w:u w:val="single"/>
          </w:rPr>
          <w:t>1</w:t>
        </w:r>
      </w:hyperlink>
      <w:r>
        <w:rPr>
          <w:sz w:val="24"/>
          <w:szCs w:val="24"/>
        </w:rPr>
        <w:t>,</w:t>
      </w:r>
      <w:hyperlink r:id="rId6">
        <w:r>
          <w:rPr>
            <w:color w:val="1155CC"/>
            <w:sz w:val="24"/>
            <w:szCs w:val="24"/>
            <w:u w:val="single"/>
          </w:rPr>
          <w:t xml:space="preserve"> 2</w:t>
        </w:r>
      </w:hyperlink>
      <w:r>
        <w:rPr>
          <w:sz w:val="24"/>
          <w:szCs w:val="24"/>
        </w:rPr>
        <w:t>). It’s much like taking a low dose of antibiotics on a daily basis.</w:t>
      </w:r>
    </w:p>
    <w:p w:rsidR="00964914" w:rsidRDefault="00964914">
      <w:pPr>
        <w:rPr>
          <w:sz w:val="24"/>
          <w:szCs w:val="24"/>
        </w:rPr>
      </w:pPr>
    </w:p>
    <w:p w:rsidR="00964914" w:rsidRDefault="00964914">
      <w:r>
        <w:rPr>
          <w:sz w:val="24"/>
          <w:szCs w:val="24"/>
        </w:rPr>
        <w:t xml:space="preserve">Normal, commensal gut bacteria like </w:t>
      </w:r>
      <w:r>
        <w:rPr>
          <w:i/>
          <w:iCs/>
          <w:sz w:val="24"/>
          <w:szCs w:val="24"/>
        </w:rPr>
        <w:t>Enterococcus, Bifidobacteria and Lactobacillus</w:t>
      </w:r>
      <w:r>
        <w:rPr>
          <w:sz w:val="24"/>
          <w:szCs w:val="24"/>
        </w:rPr>
        <w:t xml:space="preserve"> are especially susceptible to glyphosate, whereas pathogenic bacteria, like Salmonella, Klebsiella, and Clostridia are highly resistant to glyphosate (</w:t>
      </w:r>
      <w:hyperlink r:id="rId7">
        <w:r>
          <w:rPr>
            <w:color w:val="1155CC"/>
            <w:sz w:val="24"/>
            <w:szCs w:val="24"/>
            <w:u w:val="single"/>
          </w:rPr>
          <w:t>3</w:t>
        </w:r>
      </w:hyperlink>
      <w:r>
        <w:rPr>
          <w:sz w:val="24"/>
          <w:szCs w:val="24"/>
        </w:rPr>
        <w:t xml:space="preserve">). As a result, frequent exposure to glyphosate can shift the microbiome to favor the overgrowth of pathogenic bacteria, leading to gut dysbiosis. </w:t>
      </w:r>
    </w:p>
    <w:p w:rsidR="00964914" w:rsidRDefault="00964914"/>
    <w:p w:rsidR="00964914" w:rsidRDefault="00964914">
      <w:r>
        <w:t>Dysbiosis, an environment in which the harmful bacteria outnumber the beneficial bacteria, increases inflammation in the gut. Once the gut lining is inflamed, it can become damaged, or leaky, allowing unwanted food particles and toxins directly into the bloodstream, where they can trigger an immune response.</w:t>
      </w:r>
    </w:p>
    <w:p w:rsidR="00964914" w:rsidRDefault="00964914">
      <w:pPr>
        <w:rPr>
          <w:b/>
          <w:bCs/>
        </w:rPr>
      </w:pPr>
    </w:p>
    <w:p w:rsidR="00964914" w:rsidRDefault="00964914">
      <w:pPr>
        <w:rPr>
          <w:b/>
          <w:bCs/>
        </w:rPr>
      </w:pPr>
      <w:r>
        <w:rPr>
          <w:b/>
          <w:bCs/>
        </w:rPr>
        <w:t>Gut Health Solutions</w:t>
      </w:r>
    </w:p>
    <w:p w:rsidR="00964914" w:rsidRDefault="00964914"/>
    <w:p w:rsidR="00964914" w:rsidRDefault="00964914">
      <w:r>
        <w:t>If you suspect that you have dysbiosis, there are some steps that you can take to recondition your gut to fight inflammation and increase microbial diversity.</w:t>
      </w:r>
    </w:p>
    <w:p w:rsidR="00964914" w:rsidRDefault="00964914"/>
    <w:p w:rsidR="00964914" w:rsidRDefault="00964914">
      <w:pPr>
        <w:numPr>
          <w:ilvl w:val="0"/>
          <w:numId w:val="1"/>
        </w:numPr>
      </w:pPr>
      <w:r>
        <w:t>Bacillus Spores</w:t>
      </w:r>
    </w:p>
    <w:p w:rsidR="00964914" w:rsidRDefault="00964914">
      <w:r>
        <w:t xml:space="preserve">One simple way to recondition the gut is to take a probiotic that contains multiple strains of spore-forming Bacillus, like Just Thrive probiotic. The spores found in Just Thrive can crowd out unwanted pathogens via competitive exclusion and increase the production of short-chain fatty acids, which can reduce intestinal inflammation and promote the growth of your friendly microflora. </w:t>
      </w:r>
    </w:p>
    <w:p w:rsidR="00964914" w:rsidRDefault="00964914"/>
    <w:p w:rsidR="00964914" w:rsidRDefault="00964914"/>
    <w:p w:rsidR="00964914" w:rsidRDefault="00964914"/>
    <w:p w:rsidR="00964914" w:rsidRDefault="00964914"/>
    <w:p w:rsidR="00964914" w:rsidRDefault="00964914"/>
    <w:p w:rsidR="00964914" w:rsidRDefault="00964914"/>
    <w:p w:rsidR="00964914" w:rsidRDefault="00964914">
      <w:r>
        <w:t xml:space="preserve">       2. Prebiotic Fibers </w:t>
      </w:r>
    </w:p>
    <w:p w:rsidR="00964914" w:rsidRDefault="00964914">
      <w:r>
        <w:t>Functional fibers like xylo-oligosaccharides (XOS), galacto-oligosaccharides (GOS), fructo-oligosaccharides (FOS), and inulin can encourage the growth of beneficial bacteria without feeding the harmful bacteria in the gut. These prebiotic fibers can be found in small amounts in foods, but you would have to consume an exorbitant amount of these foods to get an effective dose of these fibers. For this reason, it’s important to supplement your diet with some of these prebiotic powders.</w:t>
      </w:r>
    </w:p>
    <w:p w:rsidR="00964914" w:rsidRDefault="00964914">
      <w:pPr>
        <w:ind w:left="720"/>
      </w:pPr>
    </w:p>
    <w:p w:rsidR="00964914" w:rsidRDefault="00964914">
      <w:r>
        <w:t xml:space="preserve">       3. Micronutrients </w:t>
      </w:r>
    </w:p>
    <w:p w:rsidR="00964914" w:rsidRDefault="00964914">
      <w:r>
        <w:t xml:space="preserve">Vitamin C, vitamin A, vitamin D, magnesium, zinc, and polyphenols seem to help the intestinal cells regenerate after damage from herbicides like glyphosate. Consuming foods rich in these micronutrients can help the body heal and strengthen the intestinal lining. </w:t>
      </w:r>
    </w:p>
    <w:p w:rsidR="00964914" w:rsidRDefault="00964914"/>
    <w:tbl>
      <w:tblPr>
        <w:tblW w:w="9360" w:type="dxa"/>
        <w:tblInd w:w="-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000"/>
      </w:tblPr>
      <w:tblGrid>
        <w:gridCol w:w="1860"/>
        <w:gridCol w:w="5490"/>
        <w:gridCol w:w="2010"/>
      </w:tblGrid>
      <w:tr w:rsidR="00964914">
        <w:tc>
          <w:tcPr>
            <w:tcW w:w="1860" w:type="dxa"/>
            <w:tcMar>
              <w:top w:w="100" w:type="dxa"/>
              <w:left w:w="100" w:type="dxa"/>
              <w:bottom w:w="100" w:type="dxa"/>
              <w:right w:w="100" w:type="dxa"/>
            </w:tcMar>
          </w:tcPr>
          <w:p w:rsidR="00964914" w:rsidRPr="00890E23" w:rsidRDefault="00964914" w:rsidP="00890E23">
            <w:pPr>
              <w:widowControl w:val="0"/>
              <w:spacing w:line="240" w:lineRule="auto"/>
              <w:rPr>
                <w:b/>
                <w:bCs/>
              </w:rPr>
            </w:pPr>
            <w:r w:rsidRPr="00890E23">
              <w:rPr>
                <w:b/>
                <w:bCs/>
              </w:rPr>
              <w:t>Gut-Healing Nutrients</w:t>
            </w:r>
          </w:p>
        </w:tc>
        <w:tc>
          <w:tcPr>
            <w:tcW w:w="5490" w:type="dxa"/>
            <w:tcMar>
              <w:top w:w="100" w:type="dxa"/>
              <w:left w:w="100" w:type="dxa"/>
              <w:bottom w:w="100" w:type="dxa"/>
              <w:right w:w="100" w:type="dxa"/>
            </w:tcMar>
          </w:tcPr>
          <w:p w:rsidR="00964914" w:rsidRPr="00890E23" w:rsidRDefault="00964914" w:rsidP="00890E23">
            <w:pPr>
              <w:widowControl w:val="0"/>
              <w:spacing w:line="240" w:lineRule="auto"/>
              <w:rPr>
                <w:b/>
                <w:bCs/>
              </w:rPr>
            </w:pPr>
            <w:r w:rsidRPr="00890E23">
              <w:rPr>
                <w:b/>
                <w:bCs/>
              </w:rPr>
              <w:t>Food Sources</w:t>
            </w:r>
          </w:p>
        </w:tc>
        <w:tc>
          <w:tcPr>
            <w:tcW w:w="2010" w:type="dxa"/>
            <w:tcMar>
              <w:top w:w="100" w:type="dxa"/>
              <w:left w:w="100" w:type="dxa"/>
              <w:bottom w:w="100" w:type="dxa"/>
              <w:right w:w="100" w:type="dxa"/>
            </w:tcMar>
          </w:tcPr>
          <w:p w:rsidR="00964914" w:rsidRPr="00890E23" w:rsidRDefault="00964914" w:rsidP="00890E23">
            <w:pPr>
              <w:widowControl w:val="0"/>
              <w:spacing w:line="240" w:lineRule="auto"/>
              <w:rPr>
                <w:b/>
                <w:bCs/>
              </w:rPr>
            </w:pPr>
            <w:r w:rsidRPr="00890E23">
              <w:rPr>
                <w:b/>
                <w:bCs/>
              </w:rPr>
              <w:t>Suggested Supplement Dose for Adults</w:t>
            </w:r>
          </w:p>
        </w:tc>
      </w:tr>
      <w:tr w:rsidR="00964914">
        <w:tc>
          <w:tcPr>
            <w:tcW w:w="1860" w:type="dxa"/>
            <w:tcMar>
              <w:top w:w="100" w:type="dxa"/>
              <w:left w:w="100" w:type="dxa"/>
              <w:bottom w:w="100" w:type="dxa"/>
              <w:right w:w="100" w:type="dxa"/>
            </w:tcMar>
          </w:tcPr>
          <w:p w:rsidR="00964914" w:rsidRDefault="00964914" w:rsidP="00890E23">
            <w:pPr>
              <w:widowControl w:val="0"/>
              <w:spacing w:line="240" w:lineRule="auto"/>
            </w:pPr>
            <w:r>
              <w:t>XOS</w:t>
            </w:r>
          </w:p>
        </w:tc>
        <w:tc>
          <w:tcPr>
            <w:tcW w:w="5490" w:type="dxa"/>
            <w:tcMar>
              <w:top w:w="100" w:type="dxa"/>
              <w:left w:w="100" w:type="dxa"/>
              <w:bottom w:w="100" w:type="dxa"/>
              <w:right w:w="100" w:type="dxa"/>
            </w:tcMar>
          </w:tcPr>
          <w:p w:rsidR="00964914" w:rsidRDefault="00964914" w:rsidP="00890E23">
            <w:pPr>
              <w:widowControl w:val="0"/>
              <w:spacing w:line="240" w:lineRule="auto"/>
            </w:pPr>
            <w:r>
              <w:t>Bamboo shoots, fruit, corn, cow’s milk, rice bran, honey</w:t>
            </w:r>
          </w:p>
        </w:tc>
        <w:tc>
          <w:tcPr>
            <w:tcW w:w="2010" w:type="dxa"/>
            <w:tcMar>
              <w:top w:w="100" w:type="dxa"/>
              <w:left w:w="100" w:type="dxa"/>
              <w:bottom w:w="100" w:type="dxa"/>
              <w:right w:w="100" w:type="dxa"/>
            </w:tcMar>
          </w:tcPr>
          <w:p w:rsidR="00964914" w:rsidRDefault="00964914" w:rsidP="00890E23">
            <w:pPr>
              <w:widowControl w:val="0"/>
              <w:spacing w:line="240" w:lineRule="auto"/>
            </w:pPr>
            <w:r>
              <w:t>800-1200mg/day</w:t>
            </w:r>
          </w:p>
        </w:tc>
      </w:tr>
      <w:tr w:rsidR="00964914">
        <w:tc>
          <w:tcPr>
            <w:tcW w:w="1860" w:type="dxa"/>
            <w:tcMar>
              <w:top w:w="100" w:type="dxa"/>
              <w:left w:w="100" w:type="dxa"/>
              <w:bottom w:w="100" w:type="dxa"/>
              <w:right w:w="100" w:type="dxa"/>
            </w:tcMar>
          </w:tcPr>
          <w:p w:rsidR="00964914" w:rsidRDefault="00964914" w:rsidP="00890E23">
            <w:pPr>
              <w:widowControl w:val="0"/>
              <w:spacing w:line="240" w:lineRule="auto"/>
            </w:pPr>
            <w:r>
              <w:t>GOS</w:t>
            </w:r>
          </w:p>
        </w:tc>
        <w:tc>
          <w:tcPr>
            <w:tcW w:w="5490" w:type="dxa"/>
            <w:tcMar>
              <w:top w:w="100" w:type="dxa"/>
              <w:left w:w="100" w:type="dxa"/>
              <w:bottom w:w="100" w:type="dxa"/>
              <w:right w:w="100" w:type="dxa"/>
            </w:tcMar>
          </w:tcPr>
          <w:p w:rsidR="00964914" w:rsidRDefault="00964914" w:rsidP="00890E23">
            <w:pPr>
              <w:widowControl w:val="0"/>
              <w:spacing w:line="240" w:lineRule="auto"/>
            </w:pPr>
            <w:r>
              <w:t>Whole cow’s milk, lentils, chickpeas, green peas, lima beans, kidney beans</w:t>
            </w:r>
          </w:p>
        </w:tc>
        <w:tc>
          <w:tcPr>
            <w:tcW w:w="2010" w:type="dxa"/>
            <w:tcMar>
              <w:top w:w="100" w:type="dxa"/>
              <w:left w:w="100" w:type="dxa"/>
              <w:bottom w:w="100" w:type="dxa"/>
              <w:right w:w="100" w:type="dxa"/>
            </w:tcMar>
          </w:tcPr>
          <w:p w:rsidR="00964914" w:rsidRDefault="00964914" w:rsidP="00890E23">
            <w:pPr>
              <w:widowControl w:val="0"/>
              <w:spacing w:line="240" w:lineRule="auto"/>
            </w:pPr>
            <w:r>
              <w:t>1-2 g/day</w:t>
            </w:r>
          </w:p>
        </w:tc>
      </w:tr>
      <w:tr w:rsidR="00964914">
        <w:tc>
          <w:tcPr>
            <w:tcW w:w="1860" w:type="dxa"/>
            <w:tcMar>
              <w:top w:w="100" w:type="dxa"/>
              <w:left w:w="100" w:type="dxa"/>
              <w:bottom w:w="100" w:type="dxa"/>
              <w:right w:w="100" w:type="dxa"/>
            </w:tcMar>
          </w:tcPr>
          <w:p w:rsidR="00964914" w:rsidRDefault="00964914" w:rsidP="00890E23">
            <w:pPr>
              <w:widowControl w:val="0"/>
              <w:spacing w:line="240" w:lineRule="auto"/>
            </w:pPr>
            <w:r>
              <w:t>FOS</w:t>
            </w:r>
          </w:p>
        </w:tc>
        <w:tc>
          <w:tcPr>
            <w:tcW w:w="5490" w:type="dxa"/>
            <w:tcMar>
              <w:top w:w="100" w:type="dxa"/>
              <w:left w:w="100" w:type="dxa"/>
              <w:bottom w:w="100" w:type="dxa"/>
              <w:right w:w="100" w:type="dxa"/>
            </w:tcMar>
          </w:tcPr>
          <w:p w:rsidR="00964914" w:rsidRDefault="00964914" w:rsidP="00890E23">
            <w:pPr>
              <w:spacing w:line="240" w:lineRule="auto"/>
            </w:pPr>
            <w:r>
              <w:t>bananas, onions, chicory root, garlic, asparagus, jícama, and leeks</w:t>
            </w:r>
          </w:p>
        </w:tc>
        <w:tc>
          <w:tcPr>
            <w:tcW w:w="2010" w:type="dxa"/>
            <w:tcMar>
              <w:top w:w="100" w:type="dxa"/>
              <w:left w:w="100" w:type="dxa"/>
              <w:bottom w:w="100" w:type="dxa"/>
              <w:right w:w="100" w:type="dxa"/>
            </w:tcMar>
          </w:tcPr>
          <w:p w:rsidR="00964914" w:rsidRDefault="00964914" w:rsidP="00890E23">
            <w:pPr>
              <w:widowControl w:val="0"/>
              <w:spacing w:line="240" w:lineRule="auto"/>
            </w:pPr>
            <w:r>
              <w:t>1-2 g/day</w:t>
            </w:r>
          </w:p>
        </w:tc>
      </w:tr>
      <w:tr w:rsidR="00964914">
        <w:tc>
          <w:tcPr>
            <w:tcW w:w="1860" w:type="dxa"/>
            <w:tcMar>
              <w:top w:w="100" w:type="dxa"/>
              <w:left w:w="100" w:type="dxa"/>
              <w:bottom w:w="100" w:type="dxa"/>
              <w:right w:w="100" w:type="dxa"/>
            </w:tcMar>
          </w:tcPr>
          <w:p w:rsidR="00964914" w:rsidRDefault="00964914" w:rsidP="00890E23">
            <w:pPr>
              <w:widowControl w:val="0"/>
              <w:spacing w:line="240" w:lineRule="auto"/>
            </w:pPr>
            <w:r>
              <w:t>Vitamin A</w:t>
            </w:r>
          </w:p>
        </w:tc>
        <w:tc>
          <w:tcPr>
            <w:tcW w:w="5490" w:type="dxa"/>
            <w:tcMar>
              <w:top w:w="100" w:type="dxa"/>
              <w:left w:w="100" w:type="dxa"/>
              <w:bottom w:w="100" w:type="dxa"/>
              <w:right w:w="100" w:type="dxa"/>
            </w:tcMar>
          </w:tcPr>
          <w:p w:rsidR="00964914" w:rsidRDefault="00964914" w:rsidP="00890E23">
            <w:pPr>
              <w:spacing w:line="240" w:lineRule="auto"/>
            </w:pPr>
            <w:r>
              <w:t>carrots, sweet potatoes, kale, spinach, berries, apricots, papaya, cantaloupe, mangoes, eggs, butter, raw milk and cheeses, cod liver oil and organ meats like liver</w:t>
            </w:r>
          </w:p>
        </w:tc>
        <w:tc>
          <w:tcPr>
            <w:tcW w:w="2010" w:type="dxa"/>
            <w:tcMar>
              <w:top w:w="100" w:type="dxa"/>
              <w:left w:w="100" w:type="dxa"/>
              <w:bottom w:w="100" w:type="dxa"/>
              <w:right w:w="100" w:type="dxa"/>
            </w:tcMar>
          </w:tcPr>
          <w:p w:rsidR="00964914" w:rsidRDefault="00964914" w:rsidP="00890E23">
            <w:pPr>
              <w:widowControl w:val="0"/>
              <w:spacing w:line="240" w:lineRule="auto"/>
            </w:pPr>
            <w:r>
              <w:t>700-900 mcg/day</w:t>
            </w:r>
          </w:p>
        </w:tc>
      </w:tr>
      <w:tr w:rsidR="00964914">
        <w:tc>
          <w:tcPr>
            <w:tcW w:w="1860" w:type="dxa"/>
            <w:tcMar>
              <w:top w:w="100" w:type="dxa"/>
              <w:left w:w="100" w:type="dxa"/>
              <w:bottom w:w="100" w:type="dxa"/>
              <w:right w:w="100" w:type="dxa"/>
            </w:tcMar>
          </w:tcPr>
          <w:p w:rsidR="00964914" w:rsidRDefault="00964914" w:rsidP="00890E23">
            <w:pPr>
              <w:widowControl w:val="0"/>
              <w:spacing w:line="240" w:lineRule="auto"/>
            </w:pPr>
            <w:r>
              <w:t>Vitamin C</w:t>
            </w:r>
          </w:p>
        </w:tc>
        <w:tc>
          <w:tcPr>
            <w:tcW w:w="5490" w:type="dxa"/>
            <w:tcMar>
              <w:top w:w="100" w:type="dxa"/>
              <w:left w:w="100" w:type="dxa"/>
              <w:bottom w:w="100" w:type="dxa"/>
              <w:right w:w="100" w:type="dxa"/>
            </w:tcMar>
          </w:tcPr>
          <w:p w:rsidR="00964914" w:rsidRDefault="00964914" w:rsidP="00890E23">
            <w:pPr>
              <w:widowControl w:val="0"/>
              <w:spacing w:line="240" w:lineRule="auto"/>
            </w:pPr>
            <w:r>
              <w:t>Guavas, black currants, kiwis, bell peppers, oranges, strawberries, papayas, broccoli, kale, parsley, pineapples, grapefruits, mangoes</w:t>
            </w:r>
          </w:p>
        </w:tc>
        <w:tc>
          <w:tcPr>
            <w:tcW w:w="2010" w:type="dxa"/>
            <w:tcMar>
              <w:top w:w="100" w:type="dxa"/>
              <w:left w:w="100" w:type="dxa"/>
              <w:bottom w:w="100" w:type="dxa"/>
              <w:right w:w="100" w:type="dxa"/>
            </w:tcMar>
          </w:tcPr>
          <w:p w:rsidR="00964914" w:rsidRDefault="00964914" w:rsidP="00890E23">
            <w:pPr>
              <w:widowControl w:val="0"/>
              <w:spacing w:line="240" w:lineRule="auto"/>
            </w:pPr>
            <w:r>
              <w:t>60 mg/day</w:t>
            </w:r>
          </w:p>
        </w:tc>
      </w:tr>
      <w:tr w:rsidR="00964914">
        <w:tc>
          <w:tcPr>
            <w:tcW w:w="1860" w:type="dxa"/>
            <w:tcMar>
              <w:top w:w="100" w:type="dxa"/>
              <w:left w:w="100" w:type="dxa"/>
              <w:bottom w:w="100" w:type="dxa"/>
              <w:right w:w="100" w:type="dxa"/>
            </w:tcMar>
          </w:tcPr>
          <w:p w:rsidR="00964914" w:rsidRDefault="00964914" w:rsidP="00890E23">
            <w:pPr>
              <w:widowControl w:val="0"/>
              <w:spacing w:line="240" w:lineRule="auto"/>
            </w:pPr>
            <w:r>
              <w:t>Vitamin D</w:t>
            </w:r>
          </w:p>
        </w:tc>
        <w:tc>
          <w:tcPr>
            <w:tcW w:w="5490" w:type="dxa"/>
            <w:tcMar>
              <w:top w:w="100" w:type="dxa"/>
              <w:left w:w="100" w:type="dxa"/>
              <w:bottom w:w="100" w:type="dxa"/>
              <w:right w:w="100" w:type="dxa"/>
            </w:tcMar>
          </w:tcPr>
          <w:p w:rsidR="00964914" w:rsidRDefault="00964914" w:rsidP="00890E23">
            <w:pPr>
              <w:widowControl w:val="0"/>
              <w:spacing w:line="240" w:lineRule="auto"/>
            </w:pPr>
            <w:r>
              <w:t>Tuna, mackerel, salmon, beef liver, cheese, egg yolks</w:t>
            </w:r>
          </w:p>
        </w:tc>
        <w:tc>
          <w:tcPr>
            <w:tcW w:w="2010" w:type="dxa"/>
            <w:tcMar>
              <w:top w:w="100" w:type="dxa"/>
              <w:left w:w="100" w:type="dxa"/>
              <w:bottom w:w="100" w:type="dxa"/>
              <w:right w:w="100" w:type="dxa"/>
            </w:tcMar>
          </w:tcPr>
          <w:p w:rsidR="00964914" w:rsidRDefault="00964914" w:rsidP="00890E23">
            <w:pPr>
              <w:widowControl w:val="0"/>
              <w:spacing w:line="240" w:lineRule="auto"/>
            </w:pPr>
            <w:r>
              <w:t>2000 IU/day for 3 months</w:t>
            </w:r>
          </w:p>
        </w:tc>
      </w:tr>
      <w:tr w:rsidR="00964914">
        <w:tc>
          <w:tcPr>
            <w:tcW w:w="1860" w:type="dxa"/>
            <w:tcMar>
              <w:top w:w="100" w:type="dxa"/>
              <w:left w:w="100" w:type="dxa"/>
              <w:bottom w:w="100" w:type="dxa"/>
              <w:right w:w="100" w:type="dxa"/>
            </w:tcMar>
          </w:tcPr>
          <w:p w:rsidR="00964914" w:rsidRDefault="00964914" w:rsidP="00890E23">
            <w:pPr>
              <w:widowControl w:val="0"/>
              <w:spacing w:line="240" w:lineRule="auto"/>
            </w:pPr>
            <w:r>
              <w:t>Magnesium</w:t>
            </w:r>
          </w:p>
        </w:tc>
        <w:tc>
          <w:tcPr>
            <w:tcW w:w="5490" w:type="dxa"/>
            <w:tcMar>
              <w:top w:w="100" w:type="dxa"/>
              <w:left w:w="100" w:type="dxa"/>
              <w:bottom w:w="100" w:type="dxa"/>
              <w:right w:w="100" w:type="dxa"/>
            </w:tcMar>
          </w:tcPr>
          <w:p w:rsidR="00964914" w:rsidRDefault="00964914" w:rsidP="00890E23">
            <w:pPr>
              <w:widowControl w:val="0"/>
              <w:spacing w:line="240" w:lineRule="auto"/>
            </w:pPr>
            <w:r>
              <w:t>Spinach, swiss chard, dark chocolate, dried pumpkin seeds, almonds, black beans, avocado, dried figs, bananas</w:t>
            </w:r>
          </w:p>
        </w:tc>
        <w:tc>
          <w:tcPr>
            <w:tcW w:w="2010" w:type="dxa"/>
            <w:tcMar>
              <w:top w:w="100" w:type="dxa"/>
              <w:left w:w="100" w:type="dxa"/>
              <w:bottom w:w="100" w:type="dxa"/>
              <w:right w:w="100" w:type="dxa"/>
            </w:tcMar>
          </w:tcPr>
          <w:p w:rsidR="00964914" w:rsidRDefault="00964914" w:rsidP="00890E23">
            <w:pPr>
              <w:widowControl w:val="0"/>
              <w:spacing w:line="240" w:lineRule="auto"/>
            </w:pPr>
            <w:r>
              <w:t>350 mg/day</w:t>
            </w:r>
          </w:p>
        </w:tc>
      </w:tr>
      <w:tr w:rsidR="00964914">
        <w:tc>
          <w:tcPr>
            <w:tcW w:w="1860" w:type="dxa"/>
            <w:tcMar>
              <w:top w:w="100" w:type="dxa"/>
              <w:left w:w="100" w:type="dxa"/>
              <w:bottom w:w="100" w:type="dxa"/>
              <w:right w:w="100" w:type="dxa"/>
            </w:tcMar>
          </w:tcPr>
          <w:p w:rsidR="00964914" w:rsidRDefault="00964914" w:rsidP="00890E23">
            <w:pPr>
              <w:widowControl w:val="0"/>
              <w:spacing w:line="240" w:lineRule="auto"/>
            </w:pPr>
            <w:r>
              <w:t>Zinc</w:t>
            </w:r>
          </w:p>
        </w:tc>
        <w:tc>
          <w:tcPr>
            <w:tcW w:w="5490" w:type="dxa"/>
            <w:tcMar>
              <w:top w:w="100" w:type="dxa"/>
              <w:left w:w="100" w:type="dxa"/>
              <w:bottom w:w="100" w:type="dxa"/>
              <w:right w:w="100" w:type="dxa"/>
            </w:tcMar>
          </w:tcPr>
          <w:p w:rsidR="00964914" w:rsidRDefault="00964914" w:rsidP="00890E23">
            <w:pPr>
              <w:spacing w:line="240" w:lineRule="auto"/>
            </w:pPr>
            <w:r>
              <w:t>Oysters, beef, lamb, spinach, pumpkin seeds, squash seeds, nuts, dark chocolate, pork, chicken, beans, and mushrooms</w:t>
            </w:r>
          </w:p>
        </w:tc>
        <w:tc>
          <w:tcPr>
            <w:tcW w:w="2010" w:type="dxa"/>
            <w:tcMar>
              <w:top w:w="100" w:type="dxa"/>
              <w:left w:w="100" w:type="dxa"/>
              <w:bottom w:w="100" w:type="dxa"/>
              <w:right w:w="100" w:type="dxa"/>
            </w:tcMar>
          </w:tcPr>
          <w:p w:rsidR="00964914" w:rsidRDefault="00964914" w:rsidP="00890E23">
            <w:pPr>
              <w:widowControl w:val="0"/>
              <w:spacing w:line="240" w:lineRule="auto"/>
            </w:pPr>
            <w:r>
              <w:t>40 mg/day</w:t>
            </w:r>
          </w:p>
        </w:tc>
      </w:tr>
      <w:tr w:rsidR="00964914">
        <w:tc>
          <w:tcPr>
            <w:tcW w:w="1860" w:type="dxa"/>
            <w:tcMar>
              <w:top w:w="100" w:type="dxa"/>
              <w:left w:w="100" w:type="dxa"/>
              <w:bottom w:w="100" w:type="dxa"/>
              <w:right w:w="100" w:type="dxa"/>
            </w:tcMar>
          </w:tcPr>
          <w:p w:rsidR="00964914" w:rsidRDefault="00964914" w:rsidP="00890E23">
            <w:pPr>
              <w:widowControl w:val="0"/>
              <w:spacing w:line="240" w:lineRule="auto"/>
            </w:pPr>
            <w:r>
              <w:t>Polyphenols</w:t>
            </w:r>
          </w:p>
        </w:tc>
        <w:tc>
          <w:tcPr>
            <w:tcW w:w="5490" w:type="dxa"/>
            <w:tcMar>
              <w:top w:w="100" w:type="dxa"/>
              <w:left w:w="100" w:type="dxa"/>
              <w:bottom w:w="100" w:type="dxa"/>
              <w:right w:w="100" w:type="dxa"/>
            </w:tcMar>
          </w:tcPr>
          <w:p w:rsidR="00964914" w:rsidRDefault="00964914" w:rsidP="00890E23">
            <w:pPr>
              <w:widowControl w:val="0"/>
              <w:spacing w:line="240" w:lineRule="auto"/>
            </w:pPr>
            <w:r>
              <w:t>Red wine, coffee,  green and black teas, olive oil, beets, cloves, dark chocolate, berries, black currants, hazelnuts, pecans, artichokes</w:t>
            </w:r>
          </w:p>
        </w:tc>
        <w:tc>
          <w:tcPr>
            <w:tcW w:w="2010" w:type="dxa"/>
            <w:tcMar>
              <w:top w:w="100" w:type="dxa"/>
              <w:left w:w="100" w:type="dxa"/>
              <w:bottom w:w="100" w:type="dxa"/>
              <w:right w:w="100" w:type="dxa"/>
            </w:tcMar>
          </w:tcPr>
          <w:p w:rsidR="00964914" w:rsidRDefault="00964914" w:rsidP="00890E23">
            <w:pPr>
              <w:widowControl w:val="0"/>
              <w:spacing w:line="240" w:lineRule="auto"/>
            </w:pPr>
            <w:r>
              <w:t xml:space="preserve">500 mg/day </w:t>
            </w:r>
          </w:p>
        </w:tc>
      </w:tr>
    </w:tbl>
    <w:p w:rsidR="00964914" w:rsidRDefault="00964914">
      <w:bookmarkStart w:id="0" w:name="_GoBack"/>
      <w:bookmarkEnd w:id="0"/>
    </w:p>
    <w:p w:rsidR="00964914" w:rsidRDefault="00964914"/>
    <w:p w:rsidR="00964914" w:rsidRDefault="00964914">
      <w:pPr>
        <w:ind w:left="720"/>
      </w:pPr>
    </w:p>
    <w:p w:rsidR="00964914" w:rsidRDefault="00964914"/>
    <w:sectPr w:rsidR="00964914" w:rsidSect="00AC16E0">
      <w:pgSz w:w="12240" w:h="15840"/>
      <w:pgMar w:top="1440" w:right="1440" w:bottom="1440" w:left="1440" w:header="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BC00E0"/>
    <w:multiLevelType w:val="multilevel"/>
    <w:tmpl w:val="895AB0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514D1"/>
    <w:rsid w:val="000514D1"/>
    <w:rsid w:val="0072090E"/>
    <w:rsid w:val="00890E23"/>
    <w:rsid w:val="00964914"/>
    <w:rsid w:val="00AC16E0"/>
    <w:rsid w:val="00D92888"/>
    <w:rsid w:val="00F1368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6E0"/>
    <w:pPr>
      <w:spacing w:line="276" w:lineRule="auto"/>
    </w:pPr>
    <w:rPr>
      <w:lang/>
    </w:rPr>
  </w:style>
  <w:style w:type="paragraph" w:styleId="Heading1">
    <w:name w:val="heading 1"/>
    <w:basedOn w:val="Normal"/>
    <w:next w:val="Normal"/>
    <w:link w:val="Heading1Char"/>
    <w:uiPriority w:val="99"/>
    <w:qFormat/>
    <w:rsid w:val="00AC16E0"/>
    <w:pPr>
      <w:keepNext/>
      <w:keepLines/>
      <w:spacing w:before="400" w:after="120"/>
      <w:outlineLvl w:val="0"/>
    </w:pPr>
    <w:rPr>
      <w:sz w:val="40"/>
      <w:szCs w:val="40"/>
    </w:rPr>
  </w:style>
  <w:style w:type="paragraph" w:styleId="Heading2">
    <w:name w:val="heading 2"/>
    <w:basedOn w:val="Normal"/>
    <w:next w:val="Normal"/>
    <w:link w:val="Heading2Char"/>
    <w:uiPriority w:val="99"/>
    <w:qFormat/>
    <w:rsid w:val="00AC16E0"/>
    <w:pPr>
      <w:keepNext/>
      <w:keepLines/>
      <w:spacing w:before="360" w:after="120"/>
      <w:outlineLvl w:val="1"/>
    </w:pPr>
    <w:rPr>
      <w:sz w:val="32"/>
      <w:szCs w:val="32"/>
    </w:rPr>
  </w:style>
  <w:style w:type="paragraph" w:styleId="Heading3">
    <w:name w:val="heading 3"/>
    <w:basedOn w:val="Normal"/>
    <w:next w:val="Normal"/>
    <w:link w:val="Heading3Char"/>
    <w:uiPriority w:val="99"/>
    <w:qFormat/>
    <w:rsid w:val="00AC16E0"/>
    <w:pPr>
      <w:keepNext/>
      <w:keepLines/>
      <w:spacing w:before="320" w:after="80"/>
      <w:outlineLvl w:val="2"/>
    </w:pPr>
    <w:rPr>
      <w:color w:val="434343"/>
      <w:sz w:val="28"/>
      <w:szCs w:val="28"/>
    </w:rPr>
  </w:style>
  <w:style w:type="paragraph" w:styleId="Heading4">
    <w:name w:val="heading 4"/>
    <w:basedOn w:val="Normal"/>
    <w:next w:val="Normal"/>
    <w:link w:val="Heading4Char"/>
    <w:uiPriority w:val="99"/>
    <w:qFormat/>
    <w:rsid w:val="00AC16E0"/>
    <w:pPr>
      <w:keepNext/>
      <w:keepLines/>
      <w:spacing w:before="280" w:after="80"/>
      <w:outlineLvl w:val="3"/>
    </w:pPr>
    <w:rPr>
      <w:color w:val="666666"/>
      <w:sz w:val="24"/>
      <w:szCs w:val="24"/>
    </w:rPr>
  </w:style>
  <w:style w:type="paragraph" w:styleId="Heading5">
    <w:name w:val="heading 5"/>
    <w:basedOn w:val="Normal"/>
    <w:next w:val="Normal"/>
    <w:link w:val="Heading5Char"/>
    <w:uiPriority w:val="99"/>
    <w:qFormat/>
    <w:rsid w:val="00AC16E0"/>
    <w:pPr>
      <w:keepNext/>
      <w:keepLines/>
      <w:spacing w:before="240" w:after="80"/>
      <w:outlineLvl w:val="4"/>
    </w:pPr>
    <w:rPr>
      <w:color w:val="666666"/>
    </w:rPr>
  </w:style>
  <w:style w:type="paragraph" w:styleId="Heading6">
    <w:name w:val="heading 6"/>
    <w:basedOn w:val="Normal"/>
    <w:next w:val="Normal"/>
    <w:link w:val="Heading6Char"/>
    <w:uiPriority w:val="99"/>
    <w:qFormat/>
    <w:rsid w:val="00AC16E0"/>
    <w:pPr>
      <w:keepNext/>
      <w:keepLines/>
      <w:spacing w:before="240" w:after="80"/>
      <w:outlineLvl w:val="5"/>
    </w:pPr>
    <w:rPr>
      <w:i/>
      <w:iCs/>
      <w:color w:val="66666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5CC1"/>
    <w:rPr>
      <w:rFonts w:asciiTheme="majorHAnsi" w:eastAsiaTheme="majorEastAsia" w:hAnsiTheme="majorHAnsi" w:cstheme="majorBidi"/>
      <w:b/>
      <w:bCs/>
      <w:kern w:val="32"/>
      <w:sz w:val="32"/>
      <w:szCs w:val="32"/>
      <w:lang/>
    </w:rPr>
  </w:style>
  <w:style w:type="character" w:customStyle="1" w:styleId="Heading2Char">
    <w:name w:val="Heading 2 Char"/>
    <w:basedOn w:val="DefaultParagraphFont"/>
    <w:link w:val="Heading2"/>
    <w:uiPriority w:val="9"/>
    <w:semiHidden/>
    <w:rsid w:val="000C5CC1"/>
    <w:rPr>
      <w:rFonts w:asciiTheme="majorHAnsi" w:eastAsiaTheme="majorEastAsia" w:hAnsiTheme="majorHAnsi" w:cstheme="majorBidi"/>
      <w:b/>
      <w:bCs/>
      <w:i/>
      <w:iCs/>
      <w:sz w:val="28"/>
      <w:szCs w:val="28"/>
      <w:lang/>
    </w:rPr>
  </w:style>
  <w:style w:type="character" w:customStyle="1" w:styleId="Heading3Char">
    <w:name w:val="Heading 3 Char"/>
    <w:basedOn w:val="DefaultParagraphFont"/>
    <w:link w:val="Heading3"/>
    <w:uiPriority w:val="9"/>
    <w:semiHidden/>
    <w:rsid w:val="000C5CC1"/>
    <w:rPr>
      <w:rFonts w:asciiTheme="majorHAnsi" w:eastAsiaTheme="majorEastAsia" w:hAnsiTheme="majorHAnsi" w:cstheme="majorBidi"/>
      <w:b/>
      <w:bCs/>
      <w:sz w:val="26"/>
      <w:szCs w:val="26"/>
      <w:lang/>
    </w:rPr>
  </w:style>
  <w:style w:type="character" w:customStyle="1" w:styleId="Heading4Char">
    <w:name w:val="Heading 4 Char"/>
    <w:basedOn w:val="DefaultParagraphFont"/>
    <w:link w:val="Heading4"/>
    <w:uiPriority w:val="9"/>
    <w:semiHidden/>
    <w:rsid w:val="000C5CC1"/>
    <w:rPr>
      <w:rFonts w:asciiTheme="minorHAnsi" w:eastAsiaTheme="minorEastAsia" w:hAnsiTheme="minorHAnsi" w:cstheme="minorBidi"/>
      <w:b/>
      <w:bCs/>
      <w:sz w:val="28"/>
      <w:szCs w:val="28"/>
      <w:lang/>
    </w:rPr>
  </w:style>
  <w:style w:type="character" w:customStyle="1" w:styleId="Heading5Char">
    <w:name w:val="Heading 5 Char"/>
    <w:basedOn w:val="DefaultParagraphFont"/>
    <w:link w:val="Heading5"/>
    <w:uiPriority w:val="9"/>
    <w:semiHidden/>
    <w:rsid w:val="000C5CC1"/>
    <w:rPr>
      <w:rFonts w:asciiTheme="minorHAnsi" w:eastAsiaTheme="minorEastAsia" w:hAnsiTheme="minorHAnsi" w:cstheme="minorBidi"/>
      <w:b/>
      <w:bCs/>
      <w:i/>
      <w:iCs/>
      <w:sz w:val="26"/>
      <w:szCs w:val="26"/>
      <w:lang/>
    </w:rPr>
  </w:style>
  <w:style w:type="character" w:customStyle="1" w:styleId="Heading6Char">
    <w:name w:val="Heading 6 Char"/>
    <w:basedOn w:val="DefaultParagraphFont"/>
    <w:link w:val="Heading6"/>
    <w:uiPriority w:val="9"/>
    <w:semiHidden/>
    <w:rsid w:val="000C5CC1"/>
    <w:rPr>
      <w:rFonts w:asciiTheme="minorHAnsi" w:eastAsiaTheme="minorEastAsia" w:hAnsiTheme="minorHAnsi" w:cstheme="minorBidi"/>
      <w:b/>
      <w:bCs/>
      <w:lang/>
    </w:rPr>
  </w:style>
  <w:style w:type="paragraph" w:styleId="Title">
    <w:name w:val="Title"/>
    <w:basedOn w:val="Normal"/>
    <w:next w:val="Normal"/>
    <w:link w:val="TitleChar"/>
    <w:uiPriority w:val="99"/>
    <w:qFormat/>
    <w:rsid w:val="00AC16E0"/>
    <w:pPr>
      <w:keepNext/>
      <w:keepLines/>
      <w:spacing w:after="60"/>
    </w:pPr>
    <w:rPr>
      <w:sz w:val="52"/>
      <w:szCs w:val="52"/>
    </w:rPr>
  </w:style>
  <w:style w:type="character" w:customStyle="1" w:styleId="TitleChar">
    <w:name w:val="Title Char"/>
    <w:basedOn w:val="DefaultParagraphFont"/>
    <w:link w:val="Title"/>
    <w:uiPriority w:val="10"/>
    <w:rsid w:val="000C5CC1"/>
    <w:rPr>
      <w:rFonts w:asciiTheme="majorHAnsi" w:eastAsiaTheme="majorEastAsia" w:hAnsiTheme="majorHAnsi" w:cstheme="majorBidi"/>
      <w:b/>
      <w:bCs/>
      <w:kern w:val="28"/>
      <w:sz w:val="32"/>
      <w:szCs w:val="32"/>
      <w:lang/>
    </w:rPr>
  </w:style>
  <w:style w:type="paragraph" w:styleId="Subtitle">
    <w:name w:val="Subtitle"/>
    <w:basedOn w:val="Normal"/>
    <w:next w:val="Normal"/>
    <w:link w:val="SubtitleChar"/>
    <w:uiPriority w:val="99"/>
    <w:qFormat/>
    <w:rsid w:val="00AC16E0"/>
    <w:pPr>
      <w:keepNext/>
      <w:keepLines/>
      <w:spacing w:after="320"/>
    </w:pPr>
    <w:rPr>
      <w:color w:val="666666"/>
      <w:sz w:val="30"/>
      <w:szCs w:val="30"/>
    </w:rPr>
  </w:style>
  <w:style w:type="character" w:customStyle="1" w:styleId="SubtitleChar">
    <w:name w:val="Subtitle Char"/>
    <w:basedOn w:val="DefaultParagraphFont"/>
    <w:link w:val="Subtitle"/>
    <w:uiPriority w:val="11"/>
    <w:rsid w:val="000C5CC1"/>
    <w:rPr>
      <w:rFonts w:asciiTheme="majorHAnsi" w:eastAsiaTheme="majorEastAsia" w:hAnsiTheme="majorHAnsi" w:cstheme="majorBidi"/>
      <w:sz w:val="24"/>
      <w:szCs w:val="24"/>
      <w:lang/>
    </w:rPr>
  </w:style>
  <w:style w:type="table" w:customStyle="1" w:styleId="Style">
    <w:name w:val="Style"/>
    <w:uiPriority w:val="99"/>
    <w:rsid w:val="00AC16E0"/>
    <w:rPr>
      <w:sz w:val="20"/>
      <w:szCs w:val="20"/>
    </w:rPr>
    <w:tblPr>
      <w:tblStyleRowBandSize w:val="1"/>
      <w:tblStyleColBandSize w:val="1"/>
      <w:tblCellMar>
        <w:top w:w="100" w:type="dxa"/>
        <w:left w:w="100" w:type="dxa"/>
        <w:bottom w:w="100" w:type="dxa"/>
        <w:right w:w="10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cbi.nlm.nih.gov/pubmed/232244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ic.microbiologyresearch.org/content/journal/micro/10.1099/mic.0.000573" TargetMode="External"/><Relationship Id="rId5" Type="http://schemas.openxmlformats.org/officeDocument/2006/relationships/hyperlink" Target="http://mbio.asm.org/content/6/2/e00009-1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639</Words>
  <Characters>3644</Characters>
  <Application>Microsoft Office Outlook</Application>
  <DocSecurity>0</DocSecurity>
  <Lines>0</Lines>
  <Paragraphs>0</Paragraphs>
  <ScaleCrop>false</ScaleCrop>
  <Company>Windows User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Glyphosate and Gut Health</dc:title>
  <dc:subject/>
  <dc:creator>TimBoyd</dc:creator>
  <cp:keywords/>
  <dc:description/>
  <cp:lastModifiedBy>TimBoyd</cp:lastModifiedBy>
  <cp:revision>2</cp:revision>
  <dcterms:created xsi:type="dcterms:W3CDTF">2018-05-21T23:53:00Z</dcterms:created>
  <dcterms:modified xsi:type="dcterms:W3CDTF">2018-05-21T23:53:00Z</dcterms:modified>
</cp:coreProperties>
</file>